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7DEA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62783D9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39DFC3EA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70B4537B" w14:textId="77777777" w:rsidR="001B31F3" w:rsidRPr="0060183B" w:rsidRDefault="001B31F3" w:rsidP="0060183B">
      <w:pPr>
        <w:jc w:val="both"/>
      </w:pPr>
    </w:p>
    <w:p w14:paraId="7A6C840F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07F95A0A" w14:textId="3302E2A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>
        <w:rPr>
          <w:rStyle w:val="normaltextrun"/>
          <w:bCs/>
        </w:rPr>
        <w:t>17.12</w:t>
      </w:r>
      <w:r w:rsidRPr="000D60AF">
        <w:rPr>
          <w:rStyle w:val="normaltextrun"/>
          <w:bCs/>
        </w:rPr>
        <w:t>.2021</w:t>
      </w:r>
      <w:r>
        <w:rPr>
          <w:rStyle w:val="normaltextrun"/>
          <w:bCs/>
        </w:rPr>
        <w:t>, 09:30 (</w:t>
      </w:r>
      <w:proofErr w:type="spellStart"/>
      <w:r w:rsidR="00D50DC4">
        <w:rPr>
          <w:rStyle w:val="normaltextrun"/>
          <w:bCs/>
        </w:rPr>
        <w:t>Skypemeetnow</w:t>
      </w:r>
      <w:proofErr w:type="spellEnd"/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03FFF06E" w14:textId="4BF2E443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>
        <w:rPr>
          <w:rStyle w:val="normaltextrun"/>
          <w:b/>
          <w:bCs/>
        </w:rPr>
        <w:t xml:space="preserve"> </w:t>
      </w:r>
      <w:r w:rsidR="007421F1">
        <w:rPr>
          <w:rStyle w:val="normaltextrun"/>
          <w:bCs/>
        </w:rPr>
        <w:t>9</w:t>
      </w:r>
    </w:p>
    <w:p w14:paraId="0CB74CD2" w14:textId="77777777" w:rsidR="007534C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6F0ACD7F" w14:textId="21D0C7E8" w:rsidR="007534C6" w:rsidRPr="00FE68B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Fen Bilimleri Enstitüsü Kalite Komisyonu 17.12.2021</w:t>
      </w:r>
      <w:r w:rsidRPr="00FE68B6">
        <w:rPr>
          <w:rStyle w:val="normaltextrun"/>
          <w:bCs/>
        </w:rPr>
        <w:t xml:space="preserve"> tarihinde saat </w:t>
      </w:r>
      <w:r>
        <w:rPr>
          <w:rStyle w:val="normaltextrun"/>
          <w:bCs/>
        </w:rPr>
        <w:t>09.3</w:t>
      </w:r>
      <w:r w:rsidRPr="00FE68B6">
        <w:rPr>
          <w:rStyle w:val="normaltextrun"/>
          <w:bCs/>
        </w:rPr>
        <w:t xml:space="preserve">0’da </w:t>
      </w:r>
      <w:r>
        <w:rPr>
          <w:rStyle w:val="normaltextrun"/>
          <w:bCs/>
        </w:rPr>
        <w:t xml:space="preserve">Enstitü Müdürü ve Kalite </w:t>
      </w:r>
      <w:r w:rsidRPr="00FE68B6">
        <w:rPr>
          <w:rStyle w:val="normaltextrun"/>
          <w:bCs/>
        </w:rPr>
        <w:t>Komisyon</w:t>
      </w:r>
      <w:r>
        <w:rPr>
          <w:rStyle w:val="normaltextrun"/>
          <w:bCs/>
        </w:rPr>
        <w:t>u</w:t>
      </w:r>
      <w:r w:rsidRPr="00FE68B6">
        <w:rPr>
          <w:rStyle w:val="normaltextrun"/>
          <w:bCs/>
        </w:rPr>
        <w:t xml:space="preserve"> Başkanı </w:t>
      </w:r>
      <w:r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 xml:space="preserve">Mehmet GÜNEŞ başkanlığında </w:t>
      </w:r>
      <w:r w:rsidRPr="00FE68B6">
        <w:rPr>
          <w:rStyle w:val="normaltextrun"/>
          <w:bCs/>
        </w:rPr>
        <w:t>toplanm</w:t>
      </w:r>
      <w:r>
        <w:rPr>
          <w:rStyle w:val="normaltextrun"/>
          <w:bCs/>
        </w:rPr>
        <w:t>ış ve aşağıdaki kararlar alınmıştır.</w:t>
      </w:r>
    </w:p>
    <w:p w14:paraId="0C7A61F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04F19987" w14:textId="32FF89CC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Pr="007B0A3E">
        <w:rPr>
          <w:b/>
          <w:u w:val="single"/>
        </w:rPr>
        <w:t>ARAR 1-</w:t>
      </w:r>
      <w:r>
        <w:t xml:space="preserve"> Fen Bilimleri Enstitüsü Kalite politikası taslağımızın, Muğla Sıtkı Koçman Üniversitesi Kalite politikaları dikkate alınarak EK-1’de sunulduğu şekliyle oluşturulmasına, taslağın İç paydaş</w:t>
      </w:r>
      <w:r w:rsidR="00F66446">
        <w:t>lar</w:t>
      </w:r>
      <w:r>
        <w:t>ımız Anabilim dallarıyla paylaşılıp kalite politikamız hakkında görüş ve öneri</w:t>
      </w:r>
      <w:r w:rsidR="00F66446">
        <w:t>lerin</w:t>
      </w:r>
      <w:r>
        <w:t xml:space="preserve"> toplanmasına, gelen öneriler ile taslağın kesinleştirilmesine ve FBE web sayfasında duyurulmasına oy birliği ile karar verilmiştir.</w:t>
      </w:r>
    </w:p>
    <w:p w14:paraId="533A2918" w14:textId="77777777" w:rsidR="00F66446" w:rsidRDefault="00F6644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3945"/>
      </w:tblGrid>
      <w:tr w:rsidR="00F66446" w14:paraId="511C0488" w14:textId="77777777" w:rsidTr="00F66446">
        <w:tc>
          <w:tcPr>
            <w:tcW w:w="4925" w:type="dxa"/>
          </w:tcPr>
          <w:p w14:paraId="25B3ADE6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4363" w:type="dxa"/>
          </w:tcPr>
          <w:p w14:paraId="79230FA4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66446" w14:paraId="5332A150" w14:textId="77777777" w:rsidTr="00F66446">
        <w:tc>
          <w:tcPr>
            <w:tcW w:w="4925" w:type="dxa"/>
          </w:tcPr>
          <w:p w14:paraId="3AE6BC49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4363" w:type="dxa"/>
          </w:tcPr>
          <w:p w14:paraId="40D1FF0E" w14:textId="2F4B5840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1EF1F00D" w14:textId="77777777" w:rsidTr="00F66446">
        <w:tc>
          <w:tcPr>
            <w:tcW w:w="4925" w:type="dxa"/>
          </w:tcPr>
          <w:p w14:paraId="5863631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4363" w:type="dxa"/>
          </w:tcPr>
          <w:p w14:paraId="77DE1C55" w14:textId="020969D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A0753DE" w14:textId="77777777" w:rsidTr="00F66446">
        <w:tc>
          <w:tcPr>
            <w:tcW w:w="4925" w:type="dxa"/>
          </w:tcPr>
          <w:p w14:paraId="4292F046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4363" w:type="dxa"/>
          </w:tcPr>
          <w:p w14:paraId="1A188732" w14:textId="3E2DFB74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4946A9A9" w14:textId="77777777" w:rsidTr="00F66446">
        <w:tc>
          <w:tcPr>
            <w:tcW w:w="4925" w:type="dxa"/>
          </w:tcPr>
          <w:p w14:paraId="46294929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4363" w:type="dxa"/>
          </w:tcPr>
          <w:p w14:paraId="38E877BF" w14:textId="05145A4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7421E424" w14:textId="77777777" w:rsidTr="00F66446">
        <w:tc>
          <w:tcPr>
            <w:tcW w:w="4925" w:type="dxa"/>
          </w:tcPr>
          <w:p w14:paraId="36E798FA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6DE48DD4" w14:textId="78D804B2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1945904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CBDBB62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5CA572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E7F1225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BE7E324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A01C3C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0C0921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6B2672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BA84B5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25FE32A" w14:textId="039A7477" w:rsidR="007534C6" w:rsidRP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lastRenderedPageBreak/>
        <w:t>EK-1</w:t>
      </w:r>
    </w:p>
    <w:tbl>
      <w:tblPr>
        <w:tblStyle w:val="TableGrid"/>
        <w:tblW w:w="8505" w:type="dxa"/>
        <w:tblInd w:w="279" w:type="dxa"/>
        <w:tblBorders>
          <w:top w:val="double" w:sz="4" w:space="0" w:color="F2D7E0"/>
          <w:left w:val="double" w:sz="4" w:space="0" w:color="F2D7E0"/>
          <w:bottom w:val="double" w:sz="4" w:space="0" w:color="F2D7E0"/>
          <w:right w:val="double" w:sz="4" w:space="0" w:color="F2D7E0"/>
          <w:insideH w:val="double" w:sz="4" w:space="0" w:color="F2D7E0"/>
          <w:insideV w:val="double" w:sz="4" w:space="0" w:color="F2D7E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3992"/>
      </w:tblGrid>
      <w:tr w:rsidR="00B451C3" w:rsidRPr="00062483" w14:paraId="168AB407" w14:textId="77777777" w:rsidTr="00C21334">
        <w:tc>
          <w:tcPr>
            <w:tcW w:w="4513" w:type="dxa"/>
            <w:shd w:val="clear" w:color="auto" w:fill="F2D7E0"/>
            <w:vAlign w:val="center"/>
          </w:tcPr>
          <w:p w14:paraId="08DFCED9" w14:textId="77777777" w:rsidR="00B451C3" w:rsidRPr="00062483" w:rsidRDefault="00B451C3" w:rsidP="00C21334">
            <w:pPr>
              <w:tabs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062483">
              <w:rPr>
                <w:rFonts w:ascii="Candara" w:hAnsi="Candara" w:cstheme="minorHAnsi"/>
                <w:b/>
                <w:sz w:val="20"/>
                <w:szCs w:val="20"/>
              </w:rPr>
              <w:t>MSKÜ</w:t>
            </w:r>
          </w:p>
        </w:tc>
        <w:tc>
          <w:tcPr>
            <w:tcW w:w="3992" w:type="dxa"/>
            <w:shd w:val="clear" w:color="auto" w:fill="F2D7E0"/>
            <w:vAlign w:val="center"/>
          </w:tcPr>
          <w:p w14:paraId="0D0F144E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FBE</w:t>
            </w:r>
          </w:p>
        </w:tc>
      </w:tr>
      <w:tr w:rsidR="00B451C3" w:rsidRPr="00062483" w14:paraId="440413B7" w14:textId="77777777" w:rsidTr="00C21334">
        <w:trPr>
          <w:trHeight w:val="2539"/>
        </w:trPr>
        <w:tc>
          <w:tcPr>
            <w:tcW w:w="4513" w:type="dxa"/>
          </w:tcPr>
          <w:p w14:paraId="62293327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“Muğla Sıtkı Koçman Üniversitesi,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eğitim-öğretim, araştırma ve toplumla etkileşim</w:t>
            </w:r>
            <w:r w:rsidRPr="00062483">
              <w:rPr>
                <w:rFonts w:ascii="Candara" w:hAnsi="Candara" w:cstheme="minorHAnsi"/>
                <w:color w:val="CC0066"/>
                <w:sz w:val="20"/>
                <w:szCs w:val="20"/>
              </w:rPr>
              <w:t xml:space="preserve"> 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>ile ilgili</w:t>
            </w:r>
            <w:r w:rsidRPr="00062483">
              <w:rPr>
                <w:rFonts w:ascii="Candara" w:hAnsi="Candara" w:cstheme="minorHAnsi"/>
                <w:color w:val="CC0066"/>
                <w:sz w:val="20"/>
                <w:szCs w:val="20"/>
              </w:rPr>
              <w:t xml:space="preserve">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hedeflerine ulaşmayı güvence altına almak için 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ihtiyaç duyulan sistem ve süreçleri kurgulayan, insan kaynağı başta olmak üzere tüm kapasite ve kaynakların etkili ve verimli kullanılmasını sağlayan ve ortak akıl yolu ile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çıktıların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 niteliğinde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sürekli gelişimi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 amaçlayan bir kurumsal yönetimi benimsemiştir.</w:t>
            </w:r>
          </w:p>
        </w:tc>
        <w:tc>
          <w:tcPr>
            <w:tcW w:w="3992" w:type="dxa"/>
          </w:tcPr>
          <w:p w14:paraId="619C4B5D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Fen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 Bilimleri Enstitüsü,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eğitim-öğretim, araştırma ve toplumsal katkıyı</w:t>
            </w:r>
            <w:r w:rsidRPr="00062483">
              <w:rPr>
                <w:rFonts w:ascii="Candara" w:hAnsi="Candara" w:cstheme="minorHAnsi"/>
                <w:color w:val="CC0066"/>
                <w:sz w:val="20"/>
                <w:szCs w:val="20"/>
              </w:rPr>
              <w:t xml:space="preserve"> 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gözeten,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hedeflerine ulaşmayı güvence altına almak için 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>paydaş gereksinimleri ve güncel gereklilikleri dikkate alarak yaptığı planlamalar</w:t>
            </w:r>
            <w:r w:rsidRPr="00062483">
              <w:rPr>
                <w:rFonts w:ascii="Candara" w:hAnsi="Candara" w:cstheme="minorHAnsi"/>
                <w:color w:val="CC0066"/>
                <w:sz w:val="20"/>
                <w:szCs w:val="20"/>
              </w:rPr>
              <w:t xml:space="preserve"> 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neticesinde elde edilen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çıktıların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 kontrolü ile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sürekli gelişimi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 xml:space="preserve"> amaçlayan bir </w:t>
            </w:r>
            <w:r>
              <w:rPr>
                <w:rFonts w:ascii="Candara" w:hAnsi="Candara" w:cstheme="minorHAnsi"/>
                <w:sz w:val="20"/>
                <w:szCs w:val="20"/>
              </w:rPr>
              <w:t>lisansüstü eğitim Enstitüsüdür</w:t>
            </w:r>
            <w:r w:rsidRPr="00062483">
              <w:rPr>
                <w:rFonts w:ascii="Candara" w:hAnsi="Candara" w:cstheme="minorHAnsi"/>
                <w:sz w:val="20"/>
                <w:szCs w:val="20"/>
              </w:rPr>
              <w:t>.</w:t>
            </w:r>
          </w:p>
        </w:tc>
      </w:tr>
      <w:tr w:rsidR="00B451C3" w:rsidRPr="00062483" w14:paraId="54FCC4CF" w14:textId="77777777" w:rsidTr="00C21334">
        <w:tc>
          <w:tcPr>
            <w:tcW w:w="4513" w:type="dxa"/>
          </w:tcPr>
          <w:p w14:paraId="6B7520A7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sz w:val="20"/>
                <w:szCs w:val="20"/>
              </w:rPr>
              <w:t xml:space="preserve">Bu politika kapsamında </w:t>
            </w:r>
            <w:r w:rsidRPr="00062483">
              <w:rPr>
                <w:rFonts w:ascii="Candara" w:hAnsi="Candara" w:cs="Times New Roman"/>
                <w:color w:val="CC0066"/>
                <w:sz w:val="20"/>
                <w:szCs w:val="20"/>
              </w:rPr>
              <w:t>Muğla Sıtkı Koçman Üniversitesi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>;</w:t>
            </w:r>
          </w:p>
        </w:tc>
        <w:tc>
          <w:tcPr>
            <w:tcW w:w="3992" w:type="dxa"/>
          </w:tcPr>
          <w:p w14:paraId="0772AA52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sz w:val="20"/>
                <w:szCs w:val="20"/>
              </w:rPr>
              <w:t xml:space="preserve">Bu politika kapsamında </w:t>
            </w:r>
            <w:r>
              <w:rPr>
                <w:rFonts w:ascii="Candara" w:hAnsi="Candara" w:cs="Times New Roman"/>
                <w:color w:val="CC0066"/>
                <w:sz w:val="20"/>
                <w:szCs w:val="20"/>
              </w:rPr>
              <w:t>Fen</w:t>
            </w:r>
            <w:r w:rsidRPr="00062483">
              <w:rPr>
                <w:rFonts w:ascii="Candara" w:hAnsi="Candara" w:cs="Times New Roman"/>
                <w:color w:val="CC0066"/>
                <w:sz w:val="20"/>
                <w:szCs w:val="20"/>
              </w:rPr>
              <w:t xml:space="preserve"> Bilimleri Enstitüsü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>;</w:t>
            </w:r>
          </w:p>
        </w:tc>
      </w:tr>
      <w:tr w:rsidR="00B451C3" w:rsidRPr="00062483" w14:paraId="3DA546EF" w14:textId="77777777" w:rsidTr="00C21334">
        <w:tc>
          <w:tcPr>
            <w:tcW w:w="4513" w:type="dxa"/>
          </w:tcPr>
          <w:p w14:paraId="00171BCF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Eğitim-Öğretim </w:t>
            </w:r>
            <w:r w:rsidRPr="00F66446">
              <w:rPr>
                <w:rFonts w:ascii="Candara" w:hAnsi="Candara" w:cs="Times New Roman"/>
                <w:b/>
                <w:sz w:val="20"/>
                <w:szCs w:val="20"/>
              </w:rPr>
              <w:t>süreçlerinin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 xml:space="preserve"> merkezinde öğrencinin öğrenmesini, programların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akreditasyonunu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 xml:space="preserve"> ve mezunların istihdam edilebilirliğini,</w:t>
            </w:r>
          </w:p>
        </w:tc>
        <w:tc>
          <w:tcPr>
            <w:tcW w:w="3992" w:type="dxa"/>
          </w:tcPr>
          <w:p w14:paraId="1192892D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>Eğitim-Öğretim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süreçlerinde </w:t>
            </w:r>
            <w:r w:rsidRPr="00F66446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öğrencinin </w:t>
            </w:r>
            <w:r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evrensel akademik içeriklerle donatılmış lisansüstü derslerle </w:t>
            </w:r>
            <w:r w:rsidRPr="00F66446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kaliteli eğitim almasını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, akademik disiplin ve 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bilimsel etik değerleri gözetmeyi, ulusal ve uluslararası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akreditasyona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sahip olmayı, </w:t>
            </w:r>
          </w:p>
        </w:tc>
      </w:tr>
      <w:tr w:rsidR="00B451C3" w:rsidRPr="00062483" w14:paraId="77DCABEB" w14:textId="77777777" w:rsidTr="00C21334">
        <w:tc>
          <w:tcPr>
            <w:tcW w:w="4513" w:type="dxa"/>
          </w:tcPr>
          <w:p w14:paraId="089F202E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>Araştırma süreçlerinde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</w:t>
            </w:r>
            <w:r w:rsidRPr="00F66446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bir arada çalışmayı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, 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bölgesinin ve ülkesinin gelişim önceliklerine duyarlı 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>şekilde etkili sonuçlara ulaşmak için hedef odaklı olmayı,</w:t>
            </w: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</w:tcPr>
          <w:p w14:paraId="5BA22E72" w14:textId="4681EAF5" w:rsidR="00B451C3" w:rsidRPr="00062483" w:rsidRDefault="00B451C3" w:rsidP="009E36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>Araştırma süreçlerin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i kapsayan lisansüstü tezlerin üretilmesinde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disipliner</w:t>
            </w:r>
            <w:proofErr w:type="spellEnd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ve </w:t>
            </w:r>
            <w:r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disiplinler</w:t>
            </w:r>
            <w:r w:rsidR="00442A84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arası yaklaşımları dengeli tutarak ortak projeler oluşturmayı teşvik e</w:t>
            </w:r>
            <w:r w:rsidR="009E368E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tmeyi</w:t>
            </w:r>
            <w:r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>,</w:t>
            </w:r>
            <w:r w:rsidRPr="00062483"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 bölgenin ve ülkenin gelişim önceliklerini gözeten</w:t>
            </w:r>
            <w:r>
              <w:rPr>
                <w:rFonts w:ascii="Candara" w:hAnsi="Candara" w:cstheme="minorHAnsi"/>
                <w:b/>
                <w:color w:val="CC0066"/>
                <w:sz w:val="20"/>
                <w:szCs w:val="20"/>
              </w:rPr>
              <w:t xml:space="preserve"> yenilikçi ve öncelikli araştırmalara 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>odaklanmayı,</w:t>
            </w:r>
          </w:p>
        </w:tc>
      </w:tr>
      <w:tr w:rsidR="00B451C3" w:rsidRPr="00062483" w14:paraId="74B4FFC9" w14:textId="77777777" w:rsidTr="00C21334">
        <w:tc>
          <w:tcPr>
            <w:tcW w:w="4513" w:type="dxa"/>
          </w:tcPr>
          <w:p w14:paraId="67BC54C6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imes New Roman"/>
                <w:bCs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>Şehri ile bütünleşmeyi</w:t>
            </w: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>, toplumsal sorumluluklarını,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çalışma huzurunu gözetmeyi,</w:t>
            </w:r>
          </w:p>
        </w:tc>
        <w:tc>
          <w:tcPr>
            <w:tcW w:w="3992" w:type="dxa"/>
            <w:vMerge w:val="restart"/>
          </w:tcPr>
          <w:p w14:paraId="3F0D1A41" w14:textId="6782F509" w:rsidR="00B451C3" w:rsidRPr="00062483" w:rsidRDefault="00B451C3" w:rsidP="009E36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imes New Roman"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/>
                <w:sz w:val="20"/>
                <w:szCs w:val="20"/>
              </w:rPr>
              <w:t>Toplumsal Katkı</w:t>
            </w:r>
            <w:r w:rsidRPr="00062483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süreçlerinde 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bölge </w:t>
            </w:r>
            <w:r>
              <w:rPr>
                <w:rFonts w:ascii="Candara" w:hAnsi="Candara" w:cs="Times New Roman"/>
                <w:bCs/>
                <w:sz w:val="20"/>
                <w:szCs w:val="20"/>
              </w:rPr>
              <w:t xml:space="preserve">sanayisi ve ekonomisinin ihtiyaçlarını gözeten lisansüstü tez çalışma konuları önermeyi, bölge 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>halkını</w:t>
            </w:r>
            <w:r>
              <w:rPr>
                <w:rFonts w:ascii="Candara" w:hAnsi="Candara" w:cs="Times New Roman"/>
                <w:bCs/>
                <w:sz w:val="20"/>
                <w:szCs w:val="20"/>
              </w:rPr>
              <w:t xml:space="preserve"> ilgilendiren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 New Roman"/>
                <w:bCs/>
                <w:sz w:val="20"/>
                <w:szCs w:val="20"/>
              </w:rPr>
              <w:t>Fen ve Mühendislik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imes New Roman"/>
                <w:bCs/>
                <w:sz w:val="20"/>
                <w:szCs w:val="20"/>
              </w:rPr>
              <w:t>Bilimleri araştırma alanları hakkında</w:t>
            </w: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 xml:space="preserve"> bilgilendirme ve uygulamalar yapmayı </w:t>
            </w:r>
            <w:r w:rsidRPr="00062483">
              <w:rPr>
                <w:rFonts w:ascii="Candara" w:hAnsi="Candara" w:cs="Times New Roman"/>
                <w:sz w:val="20"/>
                <w:szCs w:val="20"/>
              </w:rPr>
              <w:t>ilke edinir ve önceler.</w:t>
            </w:r>
          </w:p>
        </w:tc>
      </w:tr>
      <w:tr w:rsidR="00B451C3" w:rsidRPr="00062483" w14:paraId="1E438095" w14:textId="77777777" w:rsidTr="00C21334">
        <w:tc>
          <w:tcPr>
            <w:tcW w:w="4513" w:type="dxa"/>
          </w:tcPr>
          <w:p w14:paraId="5EC5A97E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imes New Roman"/>
                <w:bCs/>
                <w:sz w:val="20"/>
                <w:szCs w:val="20"/>
              </w:rPr>
            </w:pPr>
            <w:r w:rsidRPr="00062483">
              <w:rPr>
                <w:rFonts w:ascii="Candara" w:hAnsi="Candara" w:cs="Times New Roman"/>
                <w:bCs/>
                <w:sz w:val="20"/>
                <w:szCs w:val="20"/>
              </w:rPr>
              <w:t>Eğitim-öğretim, araştırma ve toplumla etkileşim noktasında sunulan hizmetler dâhil üzerine almış olduğu tüm görevlerde sürekli gelişmeyi ilke edinir ve önceler.”</w:t>
            </w:r>
          </w:p>
        </w:tc>
        <w:tc>
          <w:tcPr>
            <w:tcW w:w="3992" w:type="dxa"/>
            <w:vMerge/>
          </w:tcPr>
          <w:p w14:paraId="60044121" w14:textId="77777777" w:rsidR="00B451C3" w:rsidRPr="00062483" w:rsidRDefault="00B451C3" w:rsidP="00C2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imes New Roman"/>
                <w:b/>
                <w:color w:val="CC0066"/>
                <w:sz w:val="20"/>
                <w:szCs w:val="20"/>
              </w:rPr>
            </w:pPr>
          </w:p>
        </w:tc>
      </w:tr>
    </w:tbl>
    <w:p w14:paraId="5042E872" w14:textId="77777777" w:rsidR="005C5B40" w:rsidRPr="00D40BA0" w:rsidRDefault="005C5B40" w:rsidP="001B31F3">
      <w:pPr>
        <w:rPr>
          <w:rFonts w:eastAsia="Times New Roman" w:cs="Times New Roman"/>
          <w:b/>
        </w:rPr>
      </w:pPr>
    </w:p>
    <w:p w14:paraId="0A7F6804" w14:textId="77777777" w:rsidR="001B31F3" w:rsidRDefault="001B31F3" w:rsidP="001B31F3">
      <w:pPr>
        <w:jc w:val="center"/>
      </w:pPr>
      <w:r>
        <w:t xml:space="preserve"> </w:t>
      </w:r>
    </w:p>
    <w:sectPr w:rsidR="001B31F3" w:rsidSect="00B2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402BE3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3435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9734EE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A396CBC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3"/>
    <w:rsid w:val="00037853"/>
    <w:rsid w:val="001B31F3"/>
    <w:rsid w:val="002001BD"/>
    <w:rsid w:val="00217A9D"/>
    <w:rsid w:val="002B4C97"/>
    <w:rsid w:val="002C5480"/>
    <w:rsid w:val="0031578C"/>
    <w:rsid w:val="00442A84"/>
    <w:rsid w:val="0046240E"/>
    <w:rsid w:val="00490F7E"/>
    <w:rsid w:val="004F3495"/>
    <w:rsid w:val="0058236B"/>
    <w:rsid w:val="005C5B40"/>
    <w:rsid w:val="0060183B"/>
    <w:rsid w:val="00675C0F"/>
    <w:rsid w:val="006A1372"/>
    <w:rsid w:val="007421F1"/>
    <w:rsid w:val="007534C6"/>
    <w:rsid w:val="00774BB3"/>
    <w:rsid w:val="007D5071"/>
    <w:rsid w:val="009E368E"/>
    <w:rsid w:val="00B25F3A"/>
    <w:rsid w:val="00B451C3"/>
    <w:rsid w:val="00CA67E7"/>
    <w:rsid w:val="00D40BA0"/>
    <w:rsid w:val="00D50DC4"/>
    <w:rsid w:val="00E01EB6"/>
    <w:rsid w:val="00F66446"/>
    <w:rsid w:val="00FB0D8A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1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Dogan</dc:creator>
  <cp:keywords/>
  <dc:description/>
  <cp:lastModifiedBy>Pinar Dogan</cp:lastModifiedBy>
  <cp:revision>7</cp:revision>
  <dcterms:created xsi:type="dcterms:W3CDTF">2021-12-17T13:06:00Z</dcterms:created>
  <dcterms:modified xsi:type="dcterms:W3CDTF">2022-01-22T14:25:00Z</dcterms:modified>
</cp:coreProperties>
</file>